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№136</w:t>
      </w:r>
    </w:p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F0251C" w:rsidRDefault="00F0251C" w:rsidP="00F0251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F0251C" w:rsidRDefault="00F0251C" w:rsidP="00F0251C">
      <w:pPr>
        <w:rPr>
          <w:rFonts w:ascii="Arial" w:hAnsi="Arial" w:cs="Arial"/>
          <w:sz w:val="30"/>
          <w:szCs w:val="30"/>
        </w:rPr>
      </w:pPr>
    </w:p>
    <w:p w:rsidR="00F0251C" w:rsidRDefault="00F0251C" w:rsidP="00F025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И ДОПОЛНЕНИЙ</w:t>
      </w:r>
    </w:p>
    <w:p w:rsidR="00F0251C" w:rsidRDefault="00F0251C" w:rsidP="00F025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В ПРАВИЛА ЗЕМЛЕПОЛЬЗОВАНИЯ И ЗАСТРОЙКИ  МУНИЦИПАЛЬНОГО ОБРАЗОВАНИЯ «КАМЕНКА» БОХАНСКОГО РАЙОНА ИРКУТСКОЙ ОБЛАСТИ, УТВЕРЖДЕННЫЕ РЕШЕНИЕМ ДУМЫ МУНИЦИПАЛЬНОГО ОБРАЗОВАНИЯ «КАМЕНКА» ОТ 22.03.2013Г. №123, С ВНЕСЕННЫМИ ИЗМЕНЕНИЯМИ И ДОПОЛНЕНИЯМИ</w:t>
      </w:r>
    </w:p>
    <w:p w:rsidR="00F0251C" w:rsidRDefault="00F0251C" w:rsidP="00F0251C">
      <w:pPr>
        <w:rPr>
          <w:rFonts w:ascii="Arial" w:hAnsi="Arial" w:cs="Arial"/>
        </w:rPr>
      </w:pPr>
    </w:p>
    <w:p w:rsidR="00F0251C" w:rsidRDefault="00F0251C" w:rsidP="00F0251C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В целях обеспечения правовых основ градостроительной деятельности на территории муниципального образования «Каменка» в соответствии с </w:t>
      </w:r>
      <w:proofErr w:type="spellStart"/>
      <w:proofErr w:type="gramStart"/>
      <w:r>
        <w:rPr>
          <w:rFonts w:ascii="Arial" w:hAnsi="Arial" w:cs="Arial"/>
          <w:bCs/>
          <w:color w:val="000000"/>
          <w:spacing w:val="4"/>
        </w:rPr>
        <w:t>с</w:t>
      </w:r>
      <w:proofErr w:type="spellEnd"/>
      <w:proofErr w:type="gramEnd"/>
      <w:r>
        <w:rPr>
          <w:rFonts w:ascii="Arial" w:hAnsi="Arial" w:cs="Arial"/>
          <w:bCs/>
          <w:color w:val="000000"/>
          <w:spacing w:val="4"/>
        </w:rPr>
        <w:t xml:space="preserve"> Генеральным планом, руководствуясь статьями 30, 31, 32, 33 Градостроительного кодекса Российской Федерации, Земельным кодексом Российской Федерации, пунктом ст.14 с Федерального Закона №131- ФЗ от 06.10.2003г. «Об общих принципах организации местного самоуправления в Российской Федерации», федеральным и региональным законодательством, ст. 6 п.22 Устава муниципального образования «Каменка», Дума муниципального образования «Каменка»</w:t>
      </w:r>
    </w:p>
    <w:p w:rsidR="00F0251C" w:rsidRDefault="00F0251C" w:rsidP="00F0251C">
      <w:pPr>
        <w:jc w:val="both"/>
        <w:rPr>
          <w:rFonts w:ascii="Arial" w:hAnsi="Arial" w:cs="Arial"/>
        </w:rPr>
      </w:pPr>
    </w:p>
    <w:p w:rsidR="00F0251C" w:rsidRDefault="00F0251C" w:rsidP="00F0251C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0251C" w:rsidRDefault="00F0251C" w:rsidP="00F0251C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и дополнения в Правила землепользования и застройки муниципального образования «Каменка»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 следующие изменения и дополнения: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статью 36 части 3 «СХ-2 Зона огородных и земельных участков и участков для ведения личного подсобного хозяйства» Правил дополнить пунктом 4 «Предельные параметры земельных участков и разрешенного строительства»: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минимальная (максимальная) площадь земельных участков – 400-2000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минимальная ширина земельных участков вдоль фронта улицы – 10м;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максимальное количество этажей зданий-2;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максимальная высота зданий от уровня земли до верха перекрытия последнего этажа- 10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максимальный процент застройки участка – 60%;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требования к ограждению земельных участков: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высота ограждения земельных участков должна быть не более 1,8 метра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-ограждение между смежными земельными участками должны быть проветриваемые на высоту не менее 0,5 м от уровня земли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Расстояние от окон жилых помещений (комнат, кухонь и веранд) до стен дома и хозяйственных построек (сарая, гаража, бани) расположенных на соседних земельных участках, по санитарным и бытовым условиям должны быть не менее, как правило – 6 м.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Сараи для скота и птицы следует предусматривать на расстоянии от </w:t>
      </w:r>
      <w:proofErr w:type="spellStart"/>
      <w:r>
        <w:rPr>
          <w:rFonts w:ascii="Arial" w:hAnsi="Arial" w:cs="Arial"/>
        </w:rPr>
        <w:t>окок</w:t>
      </w:r>
      <w:proofErr w:type="spellEnd"/>
      <w:r>
        <w:rPr>
          <w:rFonts w:ascii="Arial" w:hAnsi="Arial" w:cs="Arial"/>
        </w:rPr>
        <w:t xml:space="preserve"> жилых помещений дома: одиночные или двойные – не менее 15 м., до 8  блоков – не менее 25 м., свыше 8 блоков до 30 блоков – не менее 50 м., свыше 30 блоков не менее 100 м. Размещение в пределах селитебной территории группы сараев должны содержать не более 30 блоков каждая.</w:t>
      </w:r>
      <w:proofErr w:type="gramEnd"/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Допускается блокировка хозяйственных построек на смежных земельных участках по взаимному согласию их собственников. А также блокировка хозяйственных построек к основному строению.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Статью 31 части 3 «0-1. Зона многофункциональной общественно-деловой застройки» Правил дополнить пунктом 4 «Предельные параметры земельных участков и разрешенного строительства»: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минимальная ширина земельных участков вдоль фронта улицы – 10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максимальное количество этажей зданий – 3;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максимальная высота зданий от уровня земли до верха перекрытия последнего этажа – 15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максимальный процент застройки участка – 60%;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минимальный отступ строений от передней границы участка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случае, если иной показатель не установлен линией регулирования застройки) – 3 м.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Статью 34 части 3 «П-1. Зона промышленных  и </w:t>
      </w:r>
      <w:proofErr w:type="spellStart"/>
      <w:r>
        <w:rPr>
          <w:rFonts w:ascii="Arial" w:hAnsi="Arial" w:cs="Arial"/>
        </w:rPr>
        <w:t>комунальн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складских объектов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  <w:r w:rsidRPr="00F02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классов опасности» Правил дополнить пунктом 4 «Предельные параметры земельных участков и разрешенного строительства»: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минимальная (максимальная) площадь земельных участков – 400 -6000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минимальная ширина земельных участков вдоль фронта </w:t>
      </w:r>
      <w:proofErr w:type="spellStart"/>
      <w:r>
        <w:rPr>
          <w:rFonts w:ascii="Arial" w:hAnsi="Arial" w:cs="Arial"/>
        </w:rPr>
        <w:t>улици</w:t>
      </w:r>
      <w:proofErr w:type="spellEnd"/>
      <w:r>
        <w:rPr>
          <w:rFonts w:ascii="Arial" w:hAnsi="Arial" w:cs="Arial"/>
        </w:rPr>
        <w:t xml:space="preserve"> – 10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максимальное количество этажей зданий -3;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максимальная высота – 10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Статью 35 части 3 «С</w:t>
      </w:r>
      <w:proofErr w:type="gramStart"/>
      <w:r>
        <w:rPr>
          <w:rFonts w:ascii="Arial" w:hAnsi="Arial" w:cs="Arial"/>
        </w:rPr>
        <w:t>Х-</w:t>
      </w:r>
      <w:proofErr w:type="gramEnd"/>
      <w:r>
        <w:rPr>
          <w:rFonts w:ascii="Arial" w:hAnsi="Arial" w:cs="Arial"/>
        </w:rPr>
        <w:t>.Зона объектов сельскохозяйственного производства» Правил дополнить пунктом 4 «Предельные параметры земельных участков и разрешенного строительства»: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минимальная (максимальная) площадь земельных участков – 400 -6000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минимальная ширина земельных участков вдоль фронта улицы – 10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максимальное количество этажей зданий -3;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максимальная высота – 10 м.;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F0251C" w:rsidRDefault="00F0251C" w:rsidP="00F0251C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решение в Вестнике МО «Каменка» и в сети Интернет.</w:t>
      </w: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со дня его официального опубликования.</w:t>
      </w: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«Каменка»</w:t>
      </w:r>
    </w:p>
    <w:p w:rsidR="00F0251C" w:rsidRDefault="00F0251C" w:rsidP="00F0251C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«Каменка»</w:t>
      </w:r>
    </w:p>
    <w:p w:rsidR="00733176" w:rsidRDefault="00733176">
      <w:bookmarkStart w:id="0" w:name="_GoBack"/>
      <w:bookmarkEnd w:id="0"/>
    </w:p>
    <w:sectPr w:rsidR="0073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D3"/>
    <w:rsid w:val="00733176"/>
    <w:rsid w:val="00E22AD3"/>
    <w:rsid w:val="00F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2016-12-02T04:44:00Z</dcterms:created>
  <dcterms:modified xsi:type="dcterms:W3CDTF">2016-12-02T04:44:00Z</dcterms:modified>
</cp:coreProperties>
</file>